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-9"/>
          <w:sz w:val="36"/>
          <w:szCs w:val="36"/>
        </w:rPr>
      </w:pPr>
      <w:proofErr w:type="gramStart"/>
      <w:r>
        <w:rPr>
          <w:b/>
          <w:spacing w:val="-9"/>
          <w:sz w:val="36"/>
          <w:szCs w:val="36"/>
        </w:rPr>
        <w:t>一汽解放</w:t>
      </w:r>
      <w:proofErr w:type="gramEnd"/>
      <w:r>
        <w:rPr>
          <w:b/>
          <w:spacing w:val="-9"/>
          <w:sz w:val="36"/>
          <w:szCs w:val="36"/>
        </w:rPr>
        <w:t>汽车有限公司</w:t>
      </w:r>
      <w:r>
        <w:rPr>
          <w:rFonts w:hint="eastAsia"/>
          <w:b/>
          <w:spacing w:val="-9"/>
          <w:sz w:val="36"/>
          <w:szCs w:val="36"/>
        </w:rPr>
        <w:t>卡车厂</w:t>
      </w:r>
    </w:p>
    <w:p>
      <w:pPr>
        <w:jc w:val="center"/>
        <w:rPr>
          <w:b/>
          <w:spacing w:val="-9"/>
          <w:sz w:val="36"/>
          <w:szCs w:val="36"/>
        </w:rPr>
      </w:pPr>
      <w:r>
        <w:rPr>
          <w:rFonts w:hint="eastAsia"/>
          <w:b/>
          <w:spacing w:val="-9"/>
          <w:sz w:val="36"/>
          <w:szCs w:val="36"/>
        </w:rPr>
        <w:t>土壤及地下水自行</w:t>
      </w:r>
      <w:r>
        <w:rPr>
          <w:rFonts w:ascii="Times New Roman" w:hAnsi="Times New Roman"/>
          <w:b/>
          <w:bCs/>
          <w:sz w:val="36"/>
          <w:szCs w:val="36"/>
        </w:rPr>
        <w:t>监测方案</w:t>
      </w:r>
    </w:p>
    <w:p>
      <w:pPr>
        <w:spacing w:line="36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一、重点区域识别与划分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根据</w:t>
      </w:r>
      <w:r>
        <w:rPr>
          <w:rFonts w:ascii="Times New Roman" w:hAnsi="Times New Roman" w:hint="eastAsia"/>
          <w:sz w:val="24"/>
        </w:rPr>
        <w:t>卡车厂实际</w:t>
      </w:r>
      <w:r>
        <w:rPr>
          <w:rFonts w:ascii="Times New Roman" w:hAnsi="Times New Roman"/>
          <w:sz w:val="24"/>
        </w:rPr>
        <w:t>和厂区平面布置图，卡车厂厂区重点区域</w:t>
      </w:r>
      <w:r>
        <w:rPr>
          <w:rFonts w:ascii="Times New Roman" w:hAnsi="Times New Roman" w:hint="eastAsia"/>
          <w:sz w:val="24"/>
        </w:rPr>
        <w:t>如下</w:t>
      </w:r>
      <w:r>
        <w:rPr>
          <w:rFonts w:ascii="Times New Roman" w:hAnsi="Times New Roman"/>
          <w:sz w:val="24"/>
        </w:rPr>
        <w:t>：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重点区域</w:t>
      </w:r>
      <w:proofErr w:type="gramStart"/>
      <w:r>
        <w:rPr>
          <w:rFonts w:ascii="Times New Roman" w:hAnsi="Times New Roman"/>
          <w:sz w:val="24"/>
        </w:rPr>
        <w:t>一</w:t>
      </w:r>
      <w:proofErr w:type="gramEnd"/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 w:hint="eastAsia"/>
          <w:sz w:val="24"/>
        </w:rPr>
        <w:t>规划</w:t>
      </w:r>
      <w:r>
        <w:rPr>
          <w:rFonts w:ascii="Times New Roman" w:hAnsi="Times New Roman" w:hint="eastAsia"/>
          <w:sz w:val="24"/>
        </w:rPr>
        <w:t>J7</w:t>
      </w:r>
      <w:r>
        <w:rPr>
          <w:rFonts w:ascii="Times New Roman" w:hAnsi="Times New Roman" w:hint="eastAsia"/>
          <w:sz w:val="24"/>
        </w:rPr>
        <w:t>总装车间、库房、</w:t>
      </w:r>
      <w:r>
        <w:rPr>
          <w:rFonts w:ascii="Times New Roman" w:hAnsi="Times New Roman" w:hint="eastAsia"/>
          <w:sz w:val="24"/>
        </w:rPr>
        <w:t>MV3</w:t>
      </w:r>
      <w:r>
        <w:rPr>
          <w:rFonts w:ascii="Times New Roman" w:hAnsi="Times New Roman" w:hint="eastAsia"/>
          <w:sz w:val="24"/>
        </w:rPr>
        <w:t>焊装、厚板冲压厂房、薄板冲压厂房。</w:t>
      </w:r>
    </w:p>
    <w:p>
      <w:pPr>
        <w:spacing w:line="360" w:lineRule="auto"/>
        <w:ind w:firstLineChars="200" w:firstLine="4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eastAsia"/>
          <w:sz w:val="24"/>
        </w:rPr>
        <w:t>重点区域二：驾驶室涂装车间、焊装车间、</w:t>
      </w:r>
      <w:r>
        <w:rPr>
          <w:rFonts w:ascii="Times New Roman" w:hAnsi="Times New Roman" w:hint="eastAsia"/>
          <w:color w:val="000000" w:themeColor="text1"/>
          <w:sz w:val="24"/>
        </w:rPr>
        <w:t>老总装厂房。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重点区域三：内饰车间、新总装车间、油库、总装喷蜡线。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重点区域四：车架车间、横梁冲压、非金属涂装车间、辊压厂房。</w:t>
      </w:r>
    </w:p>
    <w:p>
      <w:pPr>
        <w:spacing w:line="360" w:lineRule="auto"/>
        <w:ind w:firstLineChars="200" w:firstLine="602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土壤监测</w:t>
      </w:r>
    </w:p>
    <w:p>
      <w:pPr>
        <w:numPr>
          <w:ilvl w:val="0"/>
          <w:numId w:val="2"/>
        </w:num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监测点位布设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在厂区外布设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个背景监测点</w:t>
      </w:r>
      <w:r>
        <w:rPr>
          <w:rFonts w:ascii="Times New Roman" w:hAnsi="Times New Roman" w:hint="eastAsia"/>
          <w:sz w:val="24"/>
        </w:rPr>
        <w:t>位</w:t>
      </w:r>
      <w:r>
        <w:rPr>
          <w:rFonts w:ascii="Times New Roman" w:hAnsi="Times New Roman"/>
          <w:sz w:val="24"/>
        </w:rPr>
        <w:t>，厂区内重点区域</w:t>
      </w:r>
      <w:proofErr w:type="gramStart"/>
      <w:r>
        <w:rPr>
          <w:rFonts w:ascii="Times New Roman" w:hAnsi="Times New Roman"/>
          <w:sz w:val="24"/>
        </w:rPr>
        <w:t>一</w:t>
      </w:r>
      <w:proofErr w:type="gramEnd"/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个监测点位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二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个监测点位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三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个监测点位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四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个监测点位</w:t>
      </w:r>
      <w:r>
        <w:rPr>
          <w:rFonts w:ascii="Times New Roman" w:hAnsi="Times New Roman" w:hint="eastAsia"/>
          <w:sz w:val="24"/>
        </w:rPr>
        <w:t>。共计</w:t>
      </w:r>
      <w:r>
        <w:rPr>
          <w:rFonts w:ascii="Times New Roman" w:hAnsi="Times New Roman" w:hint="eastAsia"/>
          <w:sz w:val="24"/>
        </w:rPr>
        <w:t>9</w:t>
      </w:r>
      <w:r>
        <w:rPr>
          <w:rFonts w:ascii="Times New Roman" w:hAnsi="Times New Roman" w:hint="eastAsia"/>
          <w:sz w:val="24"/>
        </w:rPr>
        <w:t>个监测点位。每个监测点位在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个土壤深度采集土壤样品，共计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个样品。</w:t>
      </w:r>
    </w:p>
    <w:p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监测</w:t>
      </w:r>
      <w:r>
        <w:rPr>
          <w:rFonts w:ascii="Times New Roman" w:hAnsi="Times New Roman" w:hint="eastAsia"/>
          <w:b/>
          <w:bCs/>
          <w:sz w:val="24"/>
        </w:rPr>
        <w:t>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①</w:t>
      </w:r>
      <w:r>
        <w:rPr>
          <w:rFonts w:ascii="Times New Roman" w:hAnsi="Times New Roman" w:hint="eastAsia"/>
          <w:sz w:val="24"/>
        </w:rPr>
        <w:t>常规因子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砷、镉、铬（六价）、铜、铅、汞、镍、四氯化碳、氯仿、氯甲烷、</w:t>
      </w:r>
      <w:r>
        <w:rPr>
          <w:rFonts w:ascii="Times New Roman" w:hAnsi="Times New Roman" w:hint="eastAsia"/>
          <w:sz w:val="24"/>
        </w:rPr>
        <w:t>1,1-</w:t>
      </w:r>
      <w:r>
        <w:rPr>
          <w:rFonts w:ascii="Times New Roman" w:hAnsi="Times New Roman" w:hint="eastAsia"/>
          <w:sz w:val="24"/>
        </w:rPr>
        <w:t>二氯乙烷、</w:t>
      </w:r>
      <w:r>
        <w:rPr>
          <w:rFonts w:ascii="Times New Roman" w:hAnsi="Times New Roman" w:hint="eastAsia"/>
          <w:sz w:val="24"/>
        </w:rPr>
        <w:t>1,2-</w:t>
      </w:r>
      <w:r>
        <w:rPr>
          <w:rFonts w:ascii="Times New Roman" w:hAnsi="Times New Roman" w:hint="eastAsia"/>
          <w:sz w:val="24"/>
        </w:rPr>
        <w:t>二氯乙烷、</w:t>
      </w:r>
      <w:r>
        <w:rPr>
          <w:rFonts w:ascii="Times New Roman" w:hAnsi="Times New Roman" w:hint="eastAsia"/>
          <w:sz w:val="24"/>
        </w:rPr>
        <w:t>1,1</w:t>
      </w:r>
      <w:proofErr w:type="gramStart"/>
      <w:r>
        <w:rPr>
          <w:rFonts w:ascii="Times New Roman" w:hAnsi="Times New Roman" w:hint="eastAsia"/>
          <w:sz w:val="24"/>
        </w:rPr>
        <w:t>二</w:t>
      </w:r>
      <w:proofErr w:type="gramEnd"/>
      <w:r>
        <w:rPr>
          <w:rFonts w:ascii="Times New Roman" w:hAnsi="Times New Roman" w:hint="eastAsia"/>
          <w:sz w:val="24"/>
        </w:rPr>
        <w:t>氯乙烯、顺</w:t>
      </w:r>
      <w:r>
        <w:rPr>
          <w:rFonts w:ascii="Times New Roman" w:hAnsi="Times New Roman" w:hint="eastAsia"/>
          <w:sz w:val="24"/>
        </w:rPr>
        <w:t>-1,2-</w:t>
      </w:r>
      <w:r>
        <w:rPr>
          <w:rFonts w:ascii="Times New Roman" w:hAnsi="Times New Roman" w:hint="eastAsia"/>
          <w:sz w:val="24"/>
        </w:rPr>
        <w:t>二氯乙烯、反</w:t>
      </w:r>
      <w:r>
        <w:rPr>
          <w:rFonts w:ascii="Times New Roman" w:hAnsi="Times New Roman" w:hint="eastAsia"/>
          <w:sz w:val="24"/>
        </w:rPr>
        <w:t>-1,2-</w:t>
      </w:r>
      <w:r>
        <w:rPr>
          <w:rFonts w:ascii="Times New Roman" w:hAnsi="Times New Roman" w:hint="eastAsia"/>
          <w:sz w:val="24"/>
        </w:rPr>
        <w:t>二氯乙烯、二氯甲烷、</w:t>
      </w:r>
      <w:r>
        <w:rPr>
          <w:rFonts w:ascii="Times New Roman" w:hAnsi="Times New Roman" w:hint="eastAsia"/>
          <w:sz w:val="24"/>
        </w:rPr>
        <w:t>1,2-</w:t>
      </w:r>
      <w:r>
        <w:rPr>
          <w:rFonts w:ascii="Times New Roman" w:hAnsi="Times New Roman" w:hint="eastAsia"/>
          <w:sz w:val="24"/>
        </w:rPr>
        <w:t>二氯丙烷、</w:t>
      </w:r>
      <w:r>
        <w:rPr>
          <w:rFonts w:ascii="Times New Roman" w:hAnsi="Times New Roman" w:hint="eastAsia"/>
          <w:sz w:val="24"/>
        </w:rPr>
        <w:t>1,1,1,2-</w:t>
      </w:r>
      <w:r>
        <w:rPr>
          <w:rFonts w:ascii="Times New Roman" w:hAnsi="Times New Roman" w:hint="eastAsia"/>
          <w:sz w:val="24"/>
        </w:rPr>
        <w:t>四氯乙烷、</w:t>
      </w:r>
      <w:r>
        <w:rPr>
          <w:rFonts w:ascii="Times New Roman" w:hAnsi="Times New Roman" w:hint="eastAsia"/>
          <w:sz w:val="24"/>
        </w:rPr>
        <w:t>1,1,2,2-</w:t>
      </w:r>
      <w:r>
        <w:rPr>
          <w:rFonts w:ascii="Times New Roman" w:hAnsi="Times New Roman" w:hint="eastAsia"/>
          <w:sz w:val="24"/>
        </w:rPr>
        <w:t>四氯乙烷、四氯乙烷、</w:t>
      </w:r>
      <w:r>
        <w:rPr>
          <w:rFonts w:ascii="Times New Roman" w:hAnsi="Times New Roman" w:hint="eastAsia"/>
          <w:sz w:val="24"/>
        </w:rPr>
        <w:t>1,1,1-</w:t>
      </w:r>
      <w:r>
        <w:rPr>
          <w:rFonts w:ascii="Times New Roman" w:hAnsi="Times New Roman" w:hint="eastAsia"/>
          <w:sz w:val="24"/>
        </w:rPr>
        <w:t>三氯乙烷、</w:t>
      </w:r>
      <w:r>
        <w:rPr>
          <w:rFonts w:ascii="Times New Roman" w:hAnsi="Times New Roman" w:hint="eastAsia"/>
          <w:sz w:val="24"/>
        </w:rPr>
        <w:t>1,1,2-</w:t>
      </w:r>
      <w:r>
        <w:rPr>
          <w:rFonts w:ascii="Times New Roman" w:hAnsi="Times New Roman" w:hint="eastAsia"/>
          <w:sz w:val="24"/>
        </w:rPr>
        <w:t>三氯乙烷、三氯乙烷、</w:t>
      </w:r>
      <w:r>
        <w:rPr>
          <w:rFonts w:ascii="Times New Roman" w:hAnsi="Times New Roman" w:hint="eastAsia"/>
          <w:sz w:val="24"/>
        </w:rPr>
        <w:t>1,2,3-</w:t>
      </w:r>
      <w:r>
        <w:rPr>
          <w:rFonts w:ascii="Times New Roman" w:hAnsi="Times New Roman" w:hint="eastAsia"/>
          <w:sz w:val="24"/>
        </w:rPr>
        <w:t>三氯丙烷、氯乙烯、苯、氯苯、</w:t>
      </w:r>
      <w:r>
        <w:rPr>
          <w:rFonts w:ascii="Times New Roman" w:hAnsi="Times New Roman" w:hint="eastAsia"/>
          <w:sz w:val="24"/>
        </w:rPr>
        <w:t>1,2-</w:t>
      </w:r>
      <w:r>
        <w:rPr>
          <w:rFonts w:ascii="Times New Roman" w:hAnsi="Times New Roman" w:hint="eastAsia"/>
          <w:sz w:val="24"/>
        </w:rPr>
        <w:t>二氯苯、</w:t>
      </w:r>
      <w:r>
        <w:rPr>
          <w:rFonts w:ascii="Times New Roman" w:hAnsi="Times New Roman" w:hint="eastAsia"/>
          <w:sz w:val="24"/>
        </w:rPr>
        <w:t>1,4-</w:t>
      </w:r>
      <w:r>
        <w:rPr>
          <w:rFonts w:ascii="Times New Roman" w:hAnsi="Times New Roman" w:hint="eastAsia"/>
          <w:sz w:val="24"/>
        </w:rPr>
        <w:t>二氯苯、乙苯、苯乙烯、甲苯、间二甲苯＋对二甲苯、邻二甲苯、硝基苯、苯胺、</w:t>
      </w:r>
      <w:r>
        <w:rPr>
          <w:rFonts w:ascii="Times New Roman" w:hAnsi="Times New Roman" w:hint="eastAsia"/>
          <w:sz w:val="24"/>
        </w:rPr>
        <w:t>2-</w:t>
      </w:r>
      <w:r>
        <w:rPr>
          <w:rFonts w:ascii="Times New Roman" w:hAnsi="Times New Roman" w:hint="eastAsia"/>
          <w:sz w:val="24"/>
        </w:rPr>
        <w:t>氯酚、苯并</w:t>
      </w:r>
      <w:r>
        <w:rPr>
          <w:rFonts w:ascii="Times New Roman" w:hAnsi="Times New Roman" w:hint="eastAsia"/>
          <w:sz w:val="24"/>
        </w:rPr>
        <w:t>[a]</w:t>
      </w:r>
      <w:proofErr w:type="gramStart"/>
      <w:r>
        <w:rPr>
          <w:rFonts w:ascii="Times New Roman" w:hAnsi="Times New Roman" w:hint="eastAsia"/>
          <w:sz w:val="24"/>
        </w:rPr>
        <w:t>蒽</w:t>
      </w:r>
      <w:proofErr w:type="gramEnd"/>
      <w:r>
        <w:rPr>
          <w:rFonts w:ascii="Times New Roman" w:hAnsi="Times New Roman" w:hint="eastAsia"/>
          <w:sz w:val="24"/>
        </w:rPr>
        <w:t>、苯并</w:t>
      </w:r>
      <w:r>
        <w:rPr>
          <w:rFonts w:ascii="Times New Roman" w:hAnsi="Times New Roman" w:hint="eastAsia"/>
          <w:sz w:val="24"/>
        </w:rPr>
        <w:t>[a]</w:t>
      </w:r>
      <w:proofErr w:type="gramStart"/>
      <w:r>
        <w:rPr>
          <w:rFonts w:ascii="Times New Roman" w:hAnsi="Times New Roman" w:hint="eastAsia"/>
          <w:sz w:val="24"/>
        </w:rPr>
        <w:t>芘</w:t>
      </w:r>
      <w:proofErr w:type="gramEnd"/>
      <w:r>
        <w:rPr>
          <w:rFonts w:ascii="Times New Roman" w:hAnsi="Times New Roman" w:hint="eastAsia"/>
          <w:sz w:val="24"/>
        </w:rPr>
        <w:t>、苯并</w:t>
      </w:r>
      <w:r>
        <w:rPr>
          <w:rFonts w:ascii="Times New Roman" w:hAnsi="Times New Roman" w:hint="eastAsia"/>
          <w:sz w:val="24"/>
        </w:rPr>
        <w:t>[b]</w:t>
      </w:r>
      <w:proofErr w:type="gramStart"/>
      <w:r>
        <w:rPr>
          <w:rFonts w:ascii="Times New Roman" w:hAnsi="Times New Roman" w:hint="eastAsia"/>
          <w:sz w:val="24"/>
        </w:rPr>
        <w:t>荧蒽</w:t>
      </w:r>
      <w:proofErr w:type="gramEnd"/>
      <w:r>
        <w:rPr>
          <w:rFonts w:ascii="Times New Roman" w:hAnsi="Times New Roman" w:hint="eastAsia"/>
          <w:sz w:val="24"/>
        </w:rPr>
        <w:t>、苯并</w:t>
      </w:r>
      <w:r>
        <w:rPr>
          <w:rFonts w:ascii="Times New Roman" w:hAnsi="Times New Roman" w:hint="eastAsia"/>
          <w:sz w:val="24"/>
        </w:rPr>
        <w:t>[k]</w:t>
      </w:r>
      <w:proofErr w:type="gramStart"/>
      <w:r>
        <w:rPr>
          <w:rFonts w:ascii="Times New Roman" w:hAnsi="Times New Roman" w:hint="eastAsia"/>
          <w:sz w:val="24"/>
        </w:rPr>
        <w:t>荧蒽</w:t>
      </w:r>
      <w:proofErr w:type="gramEnd"/>
      <w:r>
        <w:rPr>
          <w:rFonts w:ascii="Times New Roman" w:hAnsi="Times New Roman" w:hint="eastAsia"/>
          <w:sz w:val="24"/>
        </w:rPr>
        <w:t>、䓛、二苯并</w:t>
      </w:r>
      <w:r>
        <w:rPr>
          <w:rFonts w:ascii="Times New Roman" w:hAnsi="Times New Roman" w:hint="eastAsia"/>
          <w:sz w:val="24"/>
        </w:rPr>
        <w:t>[a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h]</w:t>
      </w:r>
      <w:proofErr w:type="gramStart"/>
      <w:r>
        <w:rPr>
          <w:rFonts w:ascii="Times New Roman" w:hAnsi="Times New Roman" w:hint="eastAsia"/>
          <w:sz w:val="24"/>
        </w:rPr>
        <w:t>蒽</w:t>
      </w:r>
      <w:proofErr w:type="gramEnd"/>
      <w:r>
        <w:rPr>
          <w:rFonts w:ascii="Times New Roman" w:hAnsi="Times New Roman" w:hint="eastAsia"/>
          <w:sz w:val="24"/>
        </w:rPr>
        <w:t>、</w:t>
      </w:r>
      <w:proofErr w:type="gramStart"/>
      <w:r>
        <w:rPr>
          <w:rFonts w:ascii="Times New Roman" w:hAnsi="Times New Roman" w:hint="eastAsia"/>
          <w:sz w:val="24"/>
        </w:rPr>
        <w:t>茚</w:t>
      </w:r>
      <w:proofErr w:type="gramEnd"/>
      <w:r>
        <w:rPr>
          <w:rFonts w:ascii="Times New Roman" w:hAnsi="Times New Roman" w:hint="eastAsia"/>
          <w:sz w:val="24"/>
        </w:rPr>
        <w:t>并</w:t>
      </w:r>
      <w:r>
        <w:rPr>
          <w:rFonts w:ascii="Times New Roman" w:hAnsi="Times New Roman" w:hint="eastAsia"/>
          <w:sz w:val="24"/>
        </w:rPr>
        <w:t>[1,2,3-cd]</w:t>
      </w:r>
      <w:proofErr w:type="gramStart"/>
      <w:r>
        <w:rPr>
          <w:rFonts w:ascii="Times New Roman" w:hAnsi="Times New Roman" w:hint="eastAsia"/>
          <w:sz w:val="24"/>
        </w:rPr>
        <w:t>芘</w:t>
      </w:r>
      <w:proofErr w:type="gramEnd"/>
      <w:r>
        <w:rPr>
          <w:rFonts w:ascii="Times New Roman" w:hAnsi="Times New Roman" w:hint="eastAsia"/>
          <w:sz w:val="24"/>
        </w:rPr>
        <w:t>、</w:t>
      </w:r>
      <w:proofErr w:type="gramStart"/>
      <w:r>
        <w:rPr>
          <w:rFonts w:ascii="Times New Roman" w:hAnsi="Times New Roman" w:hint="eastAsia"/>
          <w:sz w:val="24"/>
        </w:rPr>
        <w:t>萘</w:t>
      </w:r>
      <w:proofErr w:type="gramEnd"/>
      <w:r>
        <w:rPr>
          <w:rFonts w:ascii="Times New Roman" w:hAnsi="Times New Roman" w:hint="eastAsia"/>
          <w:sz w:val="24"/>
        </w:rPr>
        <w:t>。共计</w:t>
      </w:r>
      <w:r>
        <w:rPr>
          <w:rFonts w:ascii="Times New Roman" w:hAnsi="Times New Roman" w:hint="eastAsia"/>
          <w:sz w:val="24"/>
        </w:rPr>
        <w:t>45</w:t>
      </w:r>
      <w:r>
        <w:rPr>
          <w:rFonts w:ascii="Times New Roman" w:hAnsi="Times New Roman" w:hint="eastAsia"/>
          <w:sz w:val="24"/>
        </w:rPr>
        <w:t>项。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②</w:t>
      </w:r>
      <w:r>
        <w:rPr>
          <w:rFonts w:ascii="Times New Roman" w:hAnsi="Times New Roman" w:hint="eastAsia"/>
          <w:sz w:val="24"/>
        </w:rPr>
        <w:t>特征因子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石油烃、镉、铅、铬、铜、锌、镍、汞、砷、锰、钴、硒、钒、锑、铊、铍、</w:t>
      </w:r>
      <w:proofErr w:type="gramStart"/>
      <w:r>
        <w:rPr>
          <w:rFonts w:ascii="Times New Roman" w:hAnsi="Times New Roman" w:hint="eastAsia"/>
          <w:sz w:val="24"/>
        </w:rPr>
        <w:t>钼</w:t>
      </w:r>
      <w:proofErr w:type="gramEnd"/>
      <w:r>
        <w:rPr>
          <w:rFonts w:ascii="Times New Roman" w:hAnsi="Times New Roman" w:hint="eastAsia"/>
          <w:sz w:val="24"/>
        </w:rPr>
        <w:t>、土壤</w:t>
      </w:r>
      <w:r>
        <w:rPr>
          <w:rFonts w:ascii="Times New Roman" w:hAnsi="Times New Roman" w:hint="eastAsia"/>
          <w:sz w:val="24"/>
        </w:rPr>
        <w:t>PH</w:t>
      </w:r>
      <w:r>
        <w:rPr>
          <w:rFonts w:ascii="Times New Roman" w:hAnsi="Times New Roman" w:hint="eastAsia"/>
          <w:sz w:val="24"/>
        </w:rPr>
        <w:t>，共计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项。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综上，土壤监测共计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个样品，</w:t>
      </w:r>
      <w:r>
        <w:rPr>
          <w:rFonts w:ascii="Times New Roman" w:hAnsi="Times New Roman" w:hint="eastAsia"/>
          <w:sz w:val="24"/>
        </w:rPr>
        <w:t>63</w:t>
      </w:r>
      <w:r>
        <w:rPr>
          <w:rFonts w:ascii="Times New Roman" w:hAnsi="Times New Roman" w:hint="eastAsia"/>
          <w:sz w:val="24"/>
        </w:rPr>
        <w:t>项监测因子（重复项以特征检测因子为</w:t>
      </w:r>
      <w:r>
        <w:rPr>
          <w:rFonts w:ascii="Times New Roman" w:hAnsi="Times New Roman" w:hint="eastAsia"/>
          <w:sz w:val="24"/>
        </w:rPr>
        <w:lastRenderedPageBreak/>
        <w:t>主）。</w:t>
      </w:r>
    </w:p>
    <w:p>
      <w:pPr>
        <w:numPr>
          <w:ilvl w:val="0"/>
          <w:numId w:val="2"/>
        </w:num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采样深度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每个采样点位在土壤层</w:t>
      </w:r>
      <w:r>
        <w:rPr>
          <w:rFonts w:ascii="Times New Roman" w:hAnsi="Times New Roman" w:hint="eastAsia"/>
          <w:sz w:val="24"/>
        </w:rPr>
        <w:t>0.5m</w:t>
      </w:r>
      <w:r>
        <w:rPr>
          <w:rFonts w:ascii="Times New Roman" w:hAnsi="Times New Roman" w:hint="eastAsia"/>
          <w:sz w:val="24"/>
        </w:rPr>
        <w:t>和</w:t>
      </w:r>
      <w:r>
        <w:rPr>
          <w:rFonts w:ascii="Times New Roman" w:hAnsi="Times New Roman" w:hint="eastAsia"/>
          <w:sz w:val="24"/>
        </w:rPr>
        <w:t>1.0m</w:t>
      </w:r>
      <w:r>
        <w:rPr>
          <w:rFonts w:ascii="Times New Roman" w:hAnsi="Times New Roman" w:hint="eastAsia"/>
          <w:sz w:val="24"/>
        </w:rPr>
        <w:t>处各取一个采样点。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地下水</w:t>
      </w:r>
      <w:r>
        <w:rPr>
          <w:rFonts w:ascii="Times New Roman" w:hAnsi="Times New Roman"/>
          <w:b/>
          <w:bCs/>
          <w:sz w:val="30"/>
          <w:szCs w:val="30"/>
        </w:rPr>
        <w:t>监测</w:t>
      </w:r>
    </w:p>
    <w:p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（一）</w:t>
      </w:r>
      <w:r>
        <w:rPr>
          <w:rFonts w:ascii="Times New Roman" w:hAnsi="Times New Roman"/>
          <w:b/>
          <w:bCs/>
          <w:sz w:val="24"/>
        </w:rPr>
        <w:t>监测点位布设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在厂区外布设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个背景监测</w:t>
      </w:r>
      <w:r>
        <w:rPr>
          <w:rFonts w:ascii="Times New Roman" w:hAnsi="Times New Roman" w:hint="eastAsia"/>
          <w:sz w:val="24"/>
        </w:rPr>
        <w:t>井</w:t>
      </w:r>
      <w:r>
        <w:rPr>
          <w:rFonts w:ascii="Times New Roman" w:hAnsi="Times New Roman"/>
          <w:sz w:val="24"/>
        </w:rPr>
        <w:t>，厂区内重点区域</w:t>
      </w:r>
      <w:proofErr w:type="gramStart"/>
      <w:r>
        <w:rPr>
          <w:rFonts w:ascii="Times New Roman" w:hAnsi="Times New Roman"/>
          <w:sz w:val="24"/>
        </w:rPr>
        <w:t>一</w:t>
      </w:r>
      <w:proofErr w:type="gramEnd"/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个监测</w:t>
      </w:r>
      <w:r>
        <w:rPr>
          <w:rFonts w:ascii="Times New Roman" w:hAnsi="Times New Roman" w:hint="eastAsia"/>
          <w:sz w:val="24"/>
        </w:rPr>
        <w:t>井、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二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个监测</w:t>
      </w:r>
      <w:r>
        <w:rPr>
          <w:rFonts w:ascii="Times New Roman" w:hAnsi="Times New Roman" w:hint="eastAsia"/>
          <w:sz w:val="24"/>
        </w:rPr>
        <w:t>井、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三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个监测</w:t>
      </w:r>
      <w:r>
        <w:rPr>
          <w:rFonts w:ascii="Times New Roman" w:hAnsi="Times New Roman" w:hint="eastAsia"/>
          <w:sz w:val="24"/>
        </w:rPr>
        <w:t>井、</w:t>
      </w:r>
      <w:r>
        <w:rPr>
          <w:rFonts w:ascii="Times New Roman" w:hAnsi="Times New Roman"/>
          <w:sz w:val="24"/>
        </w:rPr>
        <w:t>重点区域</w:t>
      </w:r>
      <w:r>
        <w:rPr>
          <w:rFonts w:ascii="Times New Roman" w:hAnsi="Times New Roman" w:hint="eastAsia"/>
          <w:sz w:val="24"/>
        </w:rPr>
        <w:t>四</w:t>
      </w:r>
      <w:r>
        <w:rPr>
          <w:rFonts w:ascii="Times New Roman" w:hAnsi="Times New Roman"/>
          <w:sz w:val="24"/>
        </w:rPr>
        <w:t>布设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个监测</w:t>
      </w:r>
      <w:r>
        <w:rPr>
          <w:rFonts w:ascii="Times New Roman" w:hAnsi="Times New Roman" w:hint="eastAsia"/>
          <w:sz w:val="24"/>
        </w:rPr>
        <w:t>井，共计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个监测井。共计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个样品。</w:t>
      </w:r>
    </w:p>
    <w:p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（二）</w:t>
      </w:r>
      <w:r>
        <w:rPr>
          <w:rFonts w:ascii="Times New Roman" w:hAnsi="Times New Roman"/>
          <w:b/>
          <w:bCs/>
          <w:sz w:val="24"/>
        </w:rPr>
        <w:t>监测</w:t>
      </w:r>
      <w:r>
        <w:rPr>
          <w:rFonts w:ascii="Times New Roman" w:hAnsi="Times New Roman" w:hint="eastAsia"/>
          <w:b/>
          <w:bCs/>
          <w:sz w:val="24"/>
        </w:rPr>
        <w:t>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①</w:t>
      </w:r>
      <w:r>
        <w:rPr>
          <w:rFonts w:ascii="Times New Roman" w:hAnsi="Times New Roman" w:hint="eastAsia"/>
          <w:sz w:val="24"/>
        </w:rPr>
        <w:t>常规因子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pH</w:t>
      </w:r>
      <w:r>
        <w:rPr>
          <w:rFonts w:ascii="Times New Roman" w:hAnsi="Times New Roman" w:hint="eastAsia"/>
          <w:sz w:val="24"/>
        </w:rPr>
        <w:t>、总硬度、溶解性总固体、硫酸盐、氯化物、铁、锰、铜、锌、铝、挥发性酚类、耗氧量、硫化物、亚硝酸盐、硝酸盐、氟化物、汞、砷、硒、镉、铬、铅，共计</w:t>
      </w:r>
      <w:r>
        <w:rPr>
          <w:rFonts w:ascii="Times New Roman" w:hAnsi="Times New Roman" w:hint="eastAsia"/>
          <w:sz w:val="24"/>
        </w:rPr>
        <w:t>22</w:t>
      </w:r>
      <w:r>
        <w:rPr>
          <w:rFonts w:ascii="Times New Roman" w:hAnsi="Times New Roman" w:hint="eastAsia"/>
          <w:sz w:val="24"/>
        </w:rPr>
        <w:t>项。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②</w:t>
      </w:r>
      <w:r>
        <w:rPr>
          <w:rFonts w:ascii="Times New Roman" w:hAnsi="Times New Roman" w:hint="eastAsia"/>
          <w:sz w:val="24"/>
        </w:rPr>
        <w:t>特征因子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石油烃、镉、铅、铬、</w:t>
      </w:r>
      <w:r>
        <w:rPr>
          <w:rFonts w:ascii="Times New Roman" w:hAnsi="Times New Roman" w:hint="eastAsia"/>
          <w:sz w:val="24"/>
        </w:rPr>
        <w:t>铜、锌、镍、汞、砷、锰、钴、硒、钒、锑、铊、铍、</w:t>
      </w:r>
      <w:proofErr w:type="gramStart"/>
      <w:r>
        <w:rPr>
          <w:rFonts w:ascii="Times New Roman" w:hAnsi="Times New Roman" w:hint="eastAsia"/>
          <w:sz w:val="24"/>
        </w:rPr>
        <w:t>钼</w:t>
      </w:r>
      <w:proofErr w:type="gramEnd"/>
      <w:r>
        <w:rPr>
          <w:rFonts w:ascii="Times New Roman" w:hAnsi="Times New Roman" w:hint="eastAsia"/>
          <w:sz w:val="24"/>
        </w:rPr>
        <w:t>、土壤</w:t>
      </w:r>
      <w:r>
        <w:rPr>
          <w:rFonts w:ascii="Times New Roman" w:hAnsi="Times New Roman" w:hint="eastAsia"/>
          <w:sz w:val="24"/>
        </w:rPr>
        <w:t>pH</w:t>
      </w:r>
      <w:r>
        <w:rPr>
          <w:rFonts w:ascii="Times New Roman" w:hAnsi="Times New Roman" w:hint="eastAsia"/>
          <w:sz w:val="24"/>
        </w:rPr>
        <w:t>，共计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项。</w:t>
      </w:r>
    </w:p>
    <w:p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综上，地下水监测共计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个样品，</w:t>
      </w:r>
      <w:r>
        <w:rPr>
          <w:rFonts w:ascii="Times New Roman" w:hAnsi="Times New Roman" w:hint="eastAsia"/>
          <w:sz w:val="24"/>
        </w:rPr>
        <w:t>40</w:t>
      </w:r>
      <w:r>
        <w:rPr>
          <w:rFonts w:ascii="Times New Roman" w:hAnsi="Times New Roman" w:hint="eastAsia"/>
          <w:sz w:val="24"/>
        </w:rPr>
        <w:t>项监测因子（重复项以特征检测因子为主）。</w:t>
      </w:r>
    </w:p>
    <w:p>
      <w:pPr>
        <w:spacing w:line="360" w:lineRule="auto"/>
        <w:ind w:leftChars="200" w:left="4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（三）采样深度</w:t>
      </w:r>
    </w:p>
    <w:p>
      <w:pPr>
        <w:spacing w:line="360" w:lineRule="auto"/>
        <w:ind w:leftChars="200"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采样深度为在地下水位</w:t>
      </w:r>
      <w:r>
        <w:rPr>
          <w:rFonts w:ascii="Times New Roman" w:hAnsi="Times New Roman" w:hint="eastAsia"/>
          <w:sz w:val="24"/>
        </w:rPr>
        <w:t>0.5</w:t>
      </w:r>
      <w:r>
        <w:rPr>
          <w:rFonts w:ascii="Times New Roman" w:hAnsi="Times New Roman" w:hint="eastAsia"/>
          <w:sz w:val="24"/>
        </w:rPr>
        <w:t>米以下。</w:t>
      </w:r>
    </w:p>
    <w:p>
      <w:pPr>
        <w:spacing w:line="360" w:lineRule="auto"/>
        <w:ind w:leftChars="200" w:left="4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（四）检测项目明细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56"/>
        <w:gridCol w:w="430"/>
        <w:gridCol w:w="1152"/>
        <w:gridCol w:w="2301"/>
        <w:gridCol w:w="621"/>
        <w:gridCol w:w="851"/>
        <w:gridCol w:w="1134"/>
        <w:gridCol w:w="1275"/>
      </w:tblGrid>
      <w:tr>
        <w:trPr>
          <w:trHeight w:val="642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一汽解放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汽车有限公司卡车厂土壤及地下水委托监测项目明细</w:t>
            </w:r>
          </w:p>
        </w:tc>
      </w:tr>
      <w:tr>
        <w:trPr>
          <w:trHeight w:val="240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检测项目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检测频次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点位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样品个数</w:t>
            </w:r>
          </w:p>
        </w:tc>
      </w:tr>
      <w:tr>
        <w:trPr>
          <w:trHeight w:val="240"/>
        </w:trPr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个</w:t>
            </w:r>
            <w:proofErr w:type="gramEnd"/>
          </w:p>
        </w:tc>
      </w:tr>
      <w:tr>
        <w:trPr>
          <w:trHeight w:val="24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土壤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重金属和无机物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镉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铜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特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征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因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石油烃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硒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钒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锑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铊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钼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土壤PH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挥发性有机物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四氯化碳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氯仿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氯甲烷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1，1-二氯乙烷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1，2-二氯乙烷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1，1-二氯乙烯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顺-1，2-二氯乙烯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反-1，2-二氯乙烯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二氯甲烷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1，2-二氯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1，1，1，2-四氯乙烷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1，1，2，2-四氯乙烷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1，1，1-三氯乙烷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1，1，2-三氯乙烷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1，2，3-三氯丙烷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氯苯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1，2-二氯苯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1，4-二氯苯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乙苯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苯乙烯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甲苯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间二甲苯+对二甲苯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邻二甲苯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四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半挥发性有机物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硝基苯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2-氯酚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苯并[a]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蒽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苯并[a]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芘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苯并[b]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荧蒽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苯并[k]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荧蒽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萘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二苯并[a，h]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芘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茚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井[1，2，3-cd]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芘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䓛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</w:tr>
      <w:tr>
        <w:trPr>
          <w:trHeight w:val="24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五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地下水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pH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总硬度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溶解性总固体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硫酸盐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氯化物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铜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铝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挥发性酚类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耗氧量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硫化物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亚硝酸盐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硝酸盐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氟化物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砷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硒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镉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铬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石油烃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钒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锑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铊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铍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钼</w:t>
            </w:r>
            <w:proofErr w:type="gram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六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设置地下水监测井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>
      <w:pPr>
        <w:spacing w:line="360" w:lineRule="auto"/>
        <w:ind w:leftChars="200" w:left="4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978535</wp:posOffset>
            </wp:positionV>
            <wp:extent cx="8491855" cy="5318125"/>
            <wp:effectExtent l="19050" t="19050" r="23495" b="15875"/>
            <wp:wrapSquare wrapText="bothSides"/>
            <wp:docPr id="1" name="图片 1" descr="一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一汽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855" cy="5318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12D40"/>
    <w:multiLevelType w:val="singleLevel"/>
    <w:tmpl w:val="F7612D4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1643B3"/>
    <w:multiLevelType w:val="singleLevel"/>
    <w:tmpl w:val="7E1643B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生产部刘群</dc:creator>
  <cp:lastModifiedBy>生产部刘群</cp:lastModifiedBy>
  <cp:revision>2</cp:revision>
  <dcterms:created xsi:type="dcterms:W3CDTF">2020-10-14T08:08:00Z</dcterms:created>
  <dcterms:modified xsi:type="dcterms:W3CDTF">2020-10-14T08:08:00Z</dcterms:modified>
</cp:coreProperties>
</file>